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201</w:t>
      </w:r>
    </w:p>
    <w:p>
      <w:r>
        <w:t>Bundesgericht (BGE), 1971-09-30, FR</w:t>
      </w:r>
    </w:p>
    <w:p>
      <w:r>
        <w:rPr>
          <w:b/>
        </w:rPr>
        <w:t xml:space="preserve">Quelle: </w:t>
      </w:r>
      <w:r>
        <w:t>https://mcp.opencaselaw.ch/entscheid/bge_97 II 201</w:t>
      </w:r>
    </w:p>
    <w:p>
      <w:r>
        <w:t>FR: ATF 97 II 201</w:t>
      </w:r>
    </w:p>
    <w:p>
      <w:r>
        <w:t>IT: DTF 97 II 201</w:t>
      </w:r>
    </w:p>
    <w:p>
      <w:pPr>
        <w:pStyle w:val="Heading2"/>
      </w:pPr>
      <w:r>
        <w:t>Regeste</w:t>
      </w:r>
    </w:p>
    <w:p>
      <w:r>
        <w:t>Regeste Erbvertrag, durch den der Verfügende sein Landgut einem Dritten vermacht, der sich verpflichtet, den Erben des Verfügenden einen bestimmten Betrag zu zahlen. 1. Der Erbe, der eine Klage auf Feststellung der Ungültigkeit eines solchen Vertrags wegen Simulation einleitet, hat seine Klage nicht bloss gegen den Vermächtnisnehmer, sondern gegen alle seine Miterben zu richten (Erw. 3). 2. Die Parteien dürfen in einem entgeltlichen Erbvertrag vereinbaren, dass der Begünstigte den Erben des Verfügenden eine Leistung zu erbringen hat (Erw. 4). 3. Ist der streitige Erbvertrag simuliert? (Erw. 5). 4. Bedeutet der streitige Erbvertrag eine Umgehung des Gesetzes, insbesondere der Art. 19 ff. EGG? (Erw. 6).</w:t>
      </w:r>
    </w:p>
    <w:p>
      <w:pPr>
        <w:pStyle w:val="Heading2"/>
      </w:pPr>
      <w:r>
        <w:t>Erwägungen</w:t>
      </w:r>
    </w:p>
    <w:p>
      <w:r>
        <w:rPr>
          <w:b/>
        </w:rPr>
        <w:t>E. 2</w:t>
      </w:r>
    </w:p>
    <w:p>
      <w:r>
        <w:t>La juridiction cantonale a nié la qualité pour agir de Louis Hirschy. Elle a estimé qu'il ne pouvait pas actionner seul le défendeur. Il eût fallu, dit-elle, que tous les héritiers se portassent demandeurs ou qu'ils agissent par un représentant de la communauté successorale conformément à l'art. 602 CC. Cette opinion n'est pas fondée. L'action en annulation de dispositions pour cause de mort visée aux art. 519 et 520 CC peut être intentée par tout héritier ou légataire intéressé, comme le précisent les art. 519 al. 2 et 520 al. 3 CC. Il doit à plus forte raison en être de même pour les actions qui tendent BGE 97 II 201 S. 205 non pas à l'annulation de telles dispositions, comme c'est le cas des actions fondées sur les art. 519 et 520 CC, mais à la constatation de leur nullité. En l'espèce, l'action intentée par Louis Hirschy est, on l'a vu, une action en constatation de la nullité du pacte successoral. Le demandeur, qui est héritier d'Alfred Berthoud, a dès lors qualité pour l'intenter seul.</w:t>
      </w:r>
    </w:p>
    <w:p>
      <w:r>
        <w:rPr>
          <w:b/>
        </w:rPr>
        <w:t>E. 3</w:t>
      </w:r>
    </w:p>
    <w:p>
      <w:r>
        <w:t>S'agissant d'une action tendant à faire constater la nullité d'un contrat de vente ou à l'annuler, introduite par l'une des deux héritières de la venderesse contre l'acheteur seulement, et non pas aussi contre l'autre héritière qui s'en tenait au contrat, le Tribunal fédéral a confirmé le jugement cantonal qui avait rejeté la demande pour défaut de qualité pour défendre par le motif que ledit contrat constituait une unité indivisible et que, partant, l'action devait être intentée également à l'autre héritière (RO 89 II 429 ss.). En l'espèce, la situation se présente d'une manière analogue. De par le pacte successoral, que le recourant prétend être nul parce que simulé, un rapport de droit indivisible est né entre le légataire, soit le défendeur, et tous les héritiers d'Alfred Berthoud. Si le pacte successoral est valable, la somme de 180 000 fr. qui, sous réserve de certaines imputations, doit être versée par le légataire appartient en main commune à tous les héritiers. D'autre part, le consentement de tous les héritiers est nécessaire pour la délivrance volontaire du legs. En cas de refus des héritiers ou de certains d'entre eux, l'action en délivrance du legs devrait être intentée à tous. Dès lors, un jugement sur la validité ou la nullité du pacte successoral litigieux liant tous les héritiers ne peut être rendu que si l'héritier qui attaque ce pacte intente action, non seulement au légataire, mais à tous ses cohéritiers, dans la mesure où ils ne se portent pas aussi demandeurs et n'ont pas déclaré d'avance vouloir se soumettre au jugement et reconnaître qu'il leur soit opposable. Il s'ensuit que l'action du recourant en nullité du pacte successoral pour cause de simulation doit être rejetée pour défaut de qualité pour défendre du seul légataire actionné.</w:t>
      </w:r>
    </w:p>
    <w:p>
      <w:r>
        <w:rPr>
          <w:b/>
        </w:rPr>
        <w:t>E. 4</w:t>
      </w:r>
    </w:p>
    <w:p>
      <w:r>
        <w:t>Selon l'art. 494 al. 1 CC, le disposant s'oblige, dans un pacte successoral, à laisser sa succession ou un legs à l'autre partie contractante ou à un tiers. Le texte de cette disposition légale est défectueux. Le disposant ne s'oblige pas à laisser sa succession ou un legs au bénéficiaire, il lui confère de façon BGE 97 II 201 S. 206 irrévocable la qualité d'héritier ou de légataire (RO 70 II 263; TUOR, n. 1 ad art. 494 CC et n. 9 der Vorbemerkungen zum Erbvertrag; GAUTHIER, Le pacte successoral, thèse Lausanne 1955, p. 10). Le pacte successoral est conclu à titre gratuit ou à titre onéreux. Il est à titre onéreux, lorsqu'une contre-prestation est liée à l'attribution. Cette contre-prestation peut être une attribution pour cause de mort. Les deux parties disposent alors pour cause de mort, notamment en s'instituant héritière l'une de l'autre ou en se faisant des legs réciproques (ESCHER, Vorbemerkungen des art. 494 ss. CC, n. 13; TUOR, n. 3 ad art. 494 CC). A l'attribution pour cause de mort peut aussi correspondre une prestation entre vifs, telle une rente viagère ou un entretien viager que le bénéficiaire s'engage à fournir au disposant (ESCHER, Vorbemerkungen des art. 494 ss. CC, n. 6 et 15; TUOR, n. 3 ad art. 494 CC; GAUTHIER, op.cit., p. 13). La prestation du bénéficiaire consistera aussi, le cas échéant, dans le versement au délaissant d'une somme d'argent en capital (ESCHER, Vorbemerkungen des art. 494 ss. CC, n. 6). Si le bénéficiaire peut s'obliger à une contre-prestation entre vifs en faveur du disposant, les parties ont également le droit de convenir que le premier fournira une prestation aux héritiers du second. En l'espèce, l'art. 3 du pacte successoral prévoit qu'Alfred Berthoud lègue son domaine "à charge par François Berthoud de verser à la succession d'Alfred Berthoud la somme de 180 000 fr.". Il précise encore que "la charge dont le legs est grevé est expressément acceptée par François Berthoud". En dépit de ces termes, la contre-prestation que doit fournir François Berthoud n'est pas une charge au sens de l'art. 482 CC, car elle n'est pas suffisamment en rapport avec l'usage du bien légué, plus particulièrement avec son utilisation en vue d'un ou de plusieurs buts déterminés (RO 94 II 93 consid. 7). On est donc en présence d'un pacte successoral à titre onéreux où la contre-prestation consiste dans le versement d'une somme d'argent en capital aux héritiers du disposant. Il est vrai en revanche que le pacte litigieux se rapproche d'une vente avec terme d'exécution reporté à la mort du vendeur. Il s'en distingue cependant en ce sens que son maintien est subordonné à la survie du bénéficiaire. L'art. 515 al. 1 CC dispose en effet que le pacte successoral est résilié de plein droit lorsque l'héritier ou BGE 97 II 201 S. 207 le légataire ne survit pas au disposant. Dans le cas d'une vente avec terme d'exécution différé à la mort du vendeur, si l'acheteur était décédé avant celui-ci, ses héritiers lui auraient succédé dans ses droits contre l'aliénateur et pourraient exiger l'exécution de la vente à la mort de ce dernier.</w:t>
      </w:r>
    </w:p>
    <w:p>
      <w:r>
        <w:rPr>
          <w:b/>
        </w:rPr>
        <w:t>E. 5</w:t>
      </w:r>
    </w:p>
    <w:p>
      <w:r>
        <w:t>Le recourant prétend que le pacte successoral est simulé et, partant, nul. Un acte est simulé au sens de l'art. 18 CO lorsque les deux parties sont d'accord que les effets juridiques correspondant au sens objectif de leur déclaration ne doivent pas se produire et qu'elles n'ont voulu créer que l'apparence d'un acte juridique à l'égard des tiers (RO 71 II 99/100, 72 II 155, 281/282; cf. 79 II 82 consid. 2). Juridiquement inefficace d'après la volonté réelle et commune des parties, l'acte simulé est nul (RO 71 II 100, 72 II 155/156). Le juge doit relever d'office la simulation (RO 78 II 226 consid. 2). La constatation de la volonté interne des parties au moment de la conclusion du contrat et celle des actes, paroles et attitudes par lesquels elles se sont exprimées relèvent du fait et lient le Tribunal fédéral saisi d'un recours en réforme (art. 63 al. 2 OJ; RO 66 II 32, 72 II 79, 85 II 100, 87 II 175 consid. 3, 95 II 146 et 170 consid. 15). C'est en revanche une question de droit que de donner aux faits constatés par la juridiction cantonale leur qualification juridique et de juger notamment si les parties ont suffisamment manifesté leur intention de simuler, selon les principes de l'art. 1er CO, et si l'autorité cantonale a défini exactement la notion de simulation (RO 66 II 32, 72 II 80 consid. 3, 158 consid. 3, 85 II 100). En l'espèce, la juridiction cantonale relève que le pacte successoral correspond à la commune et réelle intention des contractants. D'autre part, rien dans ce pacte ne permet de supposer qu'Alfred et François Berthoud aient eu la réelle et commune volonté de simuler et de ne créer que l'apparence d'un tel pacte à l'égard des tiers. Au contraire, ils l'ont conclu pour que François Berthoud puisse acquérir la propriété du domaine d'Alfred Berthoud après la mort de celui-ci, car la vente qu'ils avaient passée s'était heurtée à l'opposition de l'autorité neuchâteloise. Ils ont recouru à une attribution pour cause de mort, par pacte successoral, parce qu'un transfert entre vifs s'était révélé impossible. La circonstance que le pacte litigieux prévoit que des sommes pourraient être versées par BGE 97 II 201 S. 208 François Berthoud à Alfred Berthoud "en avances sur les 180 000 fr." n'est pas de nature à établir une intention de simulation. Dans le pacte successoral à titre onéreux qu'ils ont conclu, le disposant et le légataire pouvaient convenir de cette imputation. Une intention de simulation du pacte successoral du 27 novembre 1963 ne résulte pas non plus de la constitution, le 4 mai 1965, soit quelque 17 mois plus tard, d'un usufruit par Alfred Berthoud en faveur de François Berthoud sur le domaine faisant l'objet du legs, contre paiement par le second au premier de mensualités de 500 fr. à imputer sur la somme de 180 000 fr. que l'intimé s'était obligé, dans ledit pacte, à verser aux héritiers du disposant. Cette constitution d'usufruit est par trop postérieure à la conclusion du pacte successoral pour qu'elle soit susceptible de fournir une indication sur la volonté réelle des parties lors de la passation dudit pacte. La preuve de l'intention de simulation, dont le recourant avait le fardeau, n'a pas été rapportée. Le recourant ne saurait dès lors prétendre que le pacte successoral est nul pour cause de simulation.</w:t>
      </w:r>
    </w:p>
    <w:p>
      <w:r>
        <w:rPr>
          <w:b/>
        </w:rPr>
        <w:t>E. 6</w:t>
      </w:r>
    </w:p>
    <w:p>
      <w:r>
        <w:t>Le recourant soutient que le pacte successoral est nul parce que les parties ont agi in fraudem legis en cherchant à éluder les art. 19 ss. LPR. Il est exact qu'Alfred et François Berthoud ont conclu le pacte successoral litigieux, après l'opposition faite par l'autorité neuchâteloise au contrat de vente qu'ils avaient passé, dans le but d'aboutir au résultat visé par ce contrat, à savoir le transfert du domaine des Sagnettes à François Berthoud. On pourrait être tenté, à première vue, de considérer qu'Alfred et François Berthoud ont ainsi entendu éluder l'art. 19 LPR. Mais la fraude à la loi suppose que l'acte incriminé viole une norme dite d'interdiction (RO 79 II 83; MERZ, n. 89 à l'art. 2 CC; VON BÜREN, Schweizerisches Obligationenrecht, p. 139). Or l'art. 19 LPR ne contient aucune interdiction de transfert de domaines agricoles. Il se borne à disposer que, dans les cantons qui le prévoient (art. 18 LPR), il peut être formé opposition contre les contrats de vente portant sur des domaines agricoles ou sur des biens-fonds qui en font partie, dans les cas visés aux litt. a, b et c. Le pacte successoral litigieux ne saurait dès lors être déclaré nul pour cause de fraude à la loi. D'autre part, la question de savoir si le pacte successoral BGE 97 II 201 S. 209 pouvait être frappé d'opposition conformément à l'art. 19 LPR n'a pas à être résolue en l'espèce, ne serait-ce qu'en raison du fait que l'opposition, formée tardivement, a été levée par la décision de la Commission cantonale de la propriété foncière rurale, qui est passée en force. Il convient encore de relever que le pacte successoral litigieux n'est pas contraire aux règles du droit successoral paysan prévues aux art. 620 ss. CC. Celles-ci ne comportent en effet aucune restriction à la liberté de disposer pour cause de mort (RO 90 II 8). Il suit de là que le pacte successoral litigieux ne viole aucune règle légale. L'action de Louis Hirschy doit donc être rejetée. Enfin, il n'est pas nécessaire d'examiner si les conclusions subsidiaires de la demande sont fondées ou non, car elles supposent que le pacte successoral soit nul.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